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644"/>
        <w:gridCol w:w="2722"/>
      </w:tblGrid>
      <w:tr w:rsidR="00EC584A" w:rsidRPr="00EC584A" w:rsidTr="00680AB9">
        <w:tc>
          <w:tcPr>
            <w:tcW w:w="2840" w:type="dxa"/>
          </w:tcPr>
          <w:p w:rsidR="00EC584A" w:rsidRPr="00EC584A" w:rsidRDefault="00EC584A" w:rsidP="00EC584A">
            <w:pPr>
              <w:jc w:val="both"/>
              <w:rPr>
                <w:rFonts w:ascii="Arial" w:hAnsi="Arial" w:cs="Arial"/>
                <w:noProof/>
                <w:sz w:val="24"/>
                <w:szCs w:val="24"/>
                <w:lang w:eastAsia="lv-LV"/>
              </w:rPr>
            </w:pPr>
          </w:p>
          <w:p w:rsidR="00EC584A" w:rsidRPr="00EC584A" w:rsidRDefault="00EC584A" w:rsidP="00EC584A">
            <w:pPr>
              <w:jc w:val="both"/>
              <w:rPr>
                <w:rFonts w:ascii="Arial" w:hAnsi="Arial" w:cs="Arial"/>
                <w:noProof/>
                <w:sz w:val="24"/>
                <w:szCs w:val="24"/>
                <w:lang w:eastAsia="lv-LV"/>
              </w:rPr>
            </w:pPr>
          </w:p>
          <w:p w:rsidR="00EC584A" w:rsidRPr="00EC584A" w:rsidRDefault="00EC584A" w:rsidP="00EC584A">
            <w:pPr>
              <w:jc w:val="both"/>
              <w:rPr>
                <w:rFonts w:ascii="Arial" w:hAnsi="Arial" w:cs="Arial"/>
                <w:sz w:val="24"/>
                <w:szCs w:val="24"/>
              </w:rPr>
            </w:pPr>
            <w:r w:rsidRPr="00EC584A">
              <w:rPr>
                <w:rFonts w:ascii="Arial" w:hAnsi="Arial" w:cs="Arial"/>
                <w:noProof/>
                <w:sz w:val="24"/>
                <w:szCs w:val="24"/>
                <w:lang w:eastAsia="lv-LV"/>
              </w:rPr>
              <w:drawing>
                <wp:inline distT="0" distB="0" distL="0" distR="0">
                  <wp:extent cx="1841648" cy="510362"/>
                  <wp:effectExtent l="19050" t="0" r="620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841" w:type="dxa"/>
          </w:tcPr>
          <w:p w:rsidR="00EC584A" w:rsidRPr="00EC584A" w:rsidRDefault="00EC584A" w:rsidP="00EC584A">
            <w:pPr>
              <w:jc w:val="both"/>
              <w:rPr>
                <w:rFonts w:ascii="Arial" w:hAnsi="Arial" w:cs="Arial"/>
                <w:b/>
                <w:bCs/>
                <w:sz w:val="24"/>
                <w:szCs w:val="24"/>
                <w:lang w:val="en-GB"/>
              </w:rPr>
            </w:pPr>
          </w:p>
          <w:p w:rsidR="00EC584A" w:rsidRPr="00EC584A" w:rsidRDefault="00EC584A" w:rsidP="00EC584A">
            <w:pPr>
              <w:jc w:val="both"/>
              <w:rPr>
                <w:rFonts w:ascii="Arial" w:hAnsi="Arial" w:cs="Arial"/>
                <w:b/>
                <w:bCs/>
                <w:sz w:val="20"/>
                <w:szCs w:val="20"/>
                <w:lang w:val="en-GB"/>
              </w:rPr>
            </w:pPr>
            <w:r w:rsidRPr="00EC584A">
              <w:rPr>
                <w:rFonts w:ascii="Arial" w:hAnsi="Arial" w:cs="Arial"/>
                <w:b/>
                <w:bCs/>
                <w:sz w:val="20"/>
                <w:szCs w:val="20"/>
                <w:lang w:val="en-GB"/>
              </w:rPr>
              <w:t>“GREAT ROUTES IN THE MIDDLE AGE AND THEIR SYMBOLOGY”</w:t>
            </w:r>
          </w:p>
          <w:p w:rsidR="00EC584A" w:rsidRPr="00EC584A" w:rsidRDefault="00EC584A" w:rsidP="00EC584A">
            <w:pPr>
              <w:jc w:val="both"/>
              <w:rPr>
                <w:rFonts w:ascii="Arial" w:hAnsi="Arial" w:cs="Arial"/>
                <w:sz w:val="24"/>
                <w:szCs w:val="24"/>
              </w:rPr>
            </w:pPr>
            <w:r w:rsidRPr="00EC584A">
              <w:rPr>
                <w:rFonts w:ascii="Arial" w:hAnsi="Arial" w:cs="Arial"/>
                <w:b/>
                <w:bCs/>
                <w:sz w:val="20"/>
                <w:szCs w:val="20"/>
                <w:lang w:val="en-GB"/>
              </w:rPr>
              <w:t>Nr. 2016-1-ES01-KA219-025035_3</w:t>
            </w:r>
          </w:p>
        </w:tc>
        <w:tc>
          <w:tcPr>
            <w:tcW w:w="2841" w:type="dxa"/>
          </w:tcPr>
          <w:p w:rsidR="00EC584A" w:rsidRPr="00EC584A" w:rsidRDefault="00EC584A" w:rsidP="00EC584A">
            <w:pPr>
              <w:jc w:val="both"/>
              <w:rPr>
                <w:rFonts w:ascii="Arial" w:hAnsi="Arial" w:cs="Arial"/>
                <w:sz w:val="24"/>
                <w:szCs w:val="24"/>
              </w:rPr>
            </w:pPr>
            <w:r w:rsidRPr="00EC584A">
              <w:rPr>
                <w:rFonts w:ascii="Arial" w:hAnsi="Arial" w:cs="Arial"/>
                <w:noProof/>
                <w:sz w:val="24"/>
                <w:szCs w:val="24"/>
                <w:lang w:eastAsia="lv-LV"/>
              </w:rPr>
              <w:drawing>
                <wp:inline distT="0" distB="0" distL="0" distR="0">
                  <wp:extent cx="1178619" cy="1178619"/>
                  <wp:effectExtent l="19050" t="0" r="2481" b="0"/>
                  <wp:docPr id="3"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5"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bl>
    <w:p w:rsidR="00EC584A" w:rsidRDefault="00EC584A" w:rsidP="00EC584A">
      <w:pPr>
        <w:jc w:val="both"/>
        <w:rPr>
          <w:rFonts w:ascii="Arial" w:hAnsi="Arial" w:cs="Arial"/>
          <w:noProof/>
          <w:sz w:val="24"/>
          <w:szCs w:val="24"/>
          <w:lang w:eastAsia="lv-LV"/>
        </w:rPr>
      </w:pPr>
      <w:r>
        <w:rPr>
          <w:rFonts w:ascii="Arial" w:hAnsi="Arial" w:cs="Arial"/>
          <w:noProof/>
          <w:sz w:val="24"/>
          <w:szCs w:val="24"/>
          <w:lang w:eastAsia="lv-LV"/>
        </w:rPr>
        <w:t>Māra Aprāne, Latvia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1"/>
        <w:gridCol w:w="4261"/>
      </w:tblGrid>
      <w:tr w:rsidR="00EC584A" w:rsidTr="00EC584A">
        <w:tc>
          <w:tcPr>
            <w:tcW w:w="4261" w:type="dxa"/>
          </w:tcPr>
          <w:p w:rsidR="00EC584A" w:rsidRDefault="00EC584A" w:rsidP="00EC584A">
            <w:pPr>
              <w:jc w:val="both"/>
              <w:rPr>
                <w:rFonts w:ascii="Arial" w:hAnsi="Arial" w:cs="Arial"/>
                <w:noProof/>
                <w:sz w:val="24"/>
                <w:szCs w:val="24"/>
                <w:lang w:eastAsia="lv-LV"/>
              </w:rPr>
            </w:pPr>
            <w:r w:rsidRPr="00EC584A">
              <w:rPr>
                <w:rFonts w:ascii="Arial" w:hAnsi="Arial" w:cs="Arial"/>
                <w:noProof/>
                <w:sz w:val="24"/>
                <w:szCs w:val="24"/>
                <w:lang w:eastAsia="lv-LV"/>
              </w:rPr>
              <w:drawing>
                <wp:inline distT="0" distB="0" distL="0" distR="0">
                  <wp:extent cx="2482850" cy="1467901"/>
                  <wp:effectExtent l="19050" t="0" r="0" b="0"/>
                  <wp:docPr id="4" name="Picture 1" descr="http://s2.lsm.lv/media/3/2/large_bf3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2.lsm.lv/media/3/2/large_bf3f.jpg"/>
                          <pic:cNvPicPr>
                            <a:picLocks noChangeAspect="1" noChangeArrowheads="1"/>
                          </pic:cNvPicPr>
                        </pic:nvPicPr>
                        <pic:blipFill>
                          <a:blip r:embed="rId6" cstate="print"/>
                          <a:srcRect/>
                          <a:stretch>
                            <a:fillRect/>
                          </a:stretch>
                        </pic:blipFill>
                        <pic:spPr bwMode="auto">
                          <a:xfrm>
                            <a:off x="0" y="0"/>
                            <a:ext cx="2485665" cy="1469565"/>
                          </a:xfrm>
                          <a:prstGeom prst="rect">
                            <a:avLst/>
                          </a:prstGeom>
                          <a:noFill/>
                          <a:ln w="9525">
                            <a:noFill/>
                            <a:miter lim="800000"/>
                            <a:headEnd/>
                            <a:tailEnd/>
                          </a:ln>
                        </pic:spPr>
                      </pic:pic>
                    </a:graphicData>
                  </a:graphic>
                </wp:inline>
              </w:drawing>
            </w:r>
          </w:p>
        </w:tc>
        <w:tc>
          <w:tcPr>
            <w:tcW w:w="4261" w:type="dxa"/>
          </w:tcPr>
          <w:p w:rsidR="00EC584A" w:rsidRDefault="00EC584A" w:rsidP="00EC584A">
            <w:pPr>
              <w:jc w:val="both"/>
              <w:rPr>
                <w:rFonts w:ascii="Arial" w:hAnsi="Arial" w:cs="Arial"/>
                <w:noProof/>
                <w:sz w:val="24"/>
                <w:szCs w:val="24"/>
                <w:lang w:eastAsia="lv-LV"/>
              </w:rPr>
            </w:pPr>
          </w:p>
          <w:p w:rsidR="00EC584A" w:rsidRDefault="00EC584A" w:rsidP="00EC584A">
            <w:pPr>
              <w:jc w:val="both"/>
              <w:rPr>
                <w:rFonts w:ascii="Arial" w:hAnsi="Arial" w:cs="Arial"/>
                <w:noProof/>
                <w:sz w:val="24"/>
                <w:szCs w:val="24"/>
                <w:lang w:eastAsia="lv-LV"/>
              </w:rPr>
            </w:pPr>
          </w:p>
          <w:p w:rsidR="00EC584A" w:rsidRDefault="00EC584A" w:rsidP="00EC584A">
            <w:pPr>
              <w:jc w:val="both"/>
              <w:rPr>
                <w:rFonts w:ascii="Arial" w:hAnsi="Arial" w:cs="Arial"/>
                <w:noProof/>
                <w:sz w:val="24"/>
                <w:szCs w:val="24"/>
                <w:lang w:eastAsia="lv-LV"/>
              </w:rPr>
            </w:pPr>
          </w:p>
          <w:p w:rsidR="00EC584A" w:rsidRPr="00EC584A" w:rsidRDefault="00EC584A" w:rsidP="00EC584A">
            <w:pPr>
              <w:jc w:val="center"/>
              <w:rPr>
                <w:rFonts w:ascii="Arial" w:hAnsi="Arial" w:cs="Arial"/>
                <w:b/>
                <w:noProof/>
                <w:sz w:val="24"/>
                <w:szCs w:val="24"/>
                <w:lang w:eastAsia="lv-LV"/>
              </w:rPr>
            </w:pPr>
          </w:p>
          <w:p w:rsidR="00EC584A" w:rsidRDefault="00EC584A" w:rsidP="00EC584A">
            <w:pPr>
              <w:jc w:val="center"/>
              <w:rPr>
                <w:rFonts w:ascii="Arial" w:hAnsi="Arial" w:cs="Arial"/>
                <w:noProof/>
                <w:sz w:val="24"/>
                <w:szCs w:val="24"/>
                <w:lang w:eastAsia="lv-LV"/>
              </w:rPr>
            </w:pPr>
            <w:r w:rsidRPr="00EC584A">
              <w:rPr>
                <w:rFonts w:ascii="Arial" w:hAnsi="Arial" w:cs="Arial"/>
                <w:b/>
                <w:noProof/>
                <w:sz w:val="24"/>
                <w:szCs w:val="24"/>
                <w:lang w:eastAsia="lv-LV"/>
              </w:rPr>
              <w:t>Terra Mariana1186-1888</w:t>
            </w:r>
          </w:p>
        </w:tc>
      </w:tr>
    </w:tbl>
    <w:p w:rsidR="00026EE7" w:rsidRPr="00EC584A" w:rsidRDefault="00026EE7" w:rsidP="00EC584A">
      <w:pPr>
        <w:jc w:val="both"/>
        <w:rPr>
          <w:rFonts w:ascii="Arial" w:hAnsi="Arial" w:cs="Arial"/>
          <w:sz w:val="24"/>
          <w:szCs w:val="24"/>
        </w:rPr>
      </w:pPr>
    </w:p>
    <w:p w:rsidR="00EC584A" w:rsidRPr="00EC584A" w:rsidRDefault="00EC584A" w:rsidP="00EC584A">
      <w:pPr>
        <w:pStyle w:val="NormalWeb"/>
        <w:jc w:val="both"/>
        <w:rPr>
          <w:rFonts w:ascii="Arial" w:hAnsi="Arial" w:cs="Arial"/>
        </w:rPr>
      </w:pPr>
      <w:r w:rsidRPr="00EC584A">
        <w:rPr>
          <w:rFonts w:ascii="Arial" w:hAnsi="Arial" w:cs="Arial"/>
        </w:rPr>
        <w:t>Albums ir unikāla vēstures liecība. Tas izdots 1888.gadā tikai vienā eksemplārā, un tā oriģināls glabājas Vatikāna apustuliskajā bibliotēkā. Tas tika izgatavots tikai vienā eksemplārā, ko Baltijas poļu muižniecība dāvināja pāvestam Leo XIII 1888. gadā. Baltijas telpā šim albumam idejas, saturiskās koncepcijas un izpildes ziņā nav līdzvērtīgu eksemplāru. Tajā atrodams bagātīgs vizuālais un tekstuālais materiāls par Livonijas pilīm, pilsdrupām, baznīcām, senu dižciltīgu dzimtu ģerboņiem, zīmogiem, vēsturiskām personībām, kā arī seno sudraba un zelta monētu nospiedumi.</w:t>
      </w:r>
    </w:p>
    <w:p w:rsidR="00EC584A" w:rsidRPr="00EC584A" w:rsidRDefault="00EC584A" w:rsidP="00EC584A">
      <w:pPr>
        <w:pStyle w:val="NormalWeb"/>
        <w:jc w:val="both"/>
        <w:rPr>
          <w:rFonts w:ascii="Arial" w:hAnsi="Arial" w:cs="Arial"/>
        </w:rPr>
      </w:pPr>
      <w:r w:rsidRPr="00EC584A">
        <w:rPr>
          <w:rFonts w:ascii="Arial" w:hAnsi="Arial" w:cs="Arial"/>
        </w:rPr>
        <w:t>1888.gadā savas priesterības 50. jubileju svinēja tolaik ļoti ietekmīgais pāvests Leo XIII. Arī no Rīgas viņš saņēma krāšņu dāvanu - vēsturisku albumu „</w:t>
      </w:r>
      <w:proofErr w:type="spellStart"/>
      <w:r w:rsidRPr="00EC584A">
        <w:rPr>
          <w:rFonts w:ascii="Arial" w:hAnsi="Arial" w:cs="Arial"/>
        </w:rPr>
        <w:t>Terra</w:t>
      </w:r>
      <w:proofErr w:type="spellEnd"/>
      <w:r w:rsidRPr="00EC584A">
        <w:rPr>
          <w:rFonts w:ascii="Arial" w:hAnsi="Arial" w:cs="Arial"/>
        </w:rPr>
        <w:t xml:space="preserve"> Mariana”. Tajā bija atspoguļota kristīgās ticības vēsture kādreizējā Livonijā, ko mēdza saukt arī par Marijas zemi.</w:t>
      </w:r>
    </w:p>
    <w:p w:rsidR="00EC584A" w:rsidRPr="00EC584A" w:rsidRDefault="00EC584A" w:rsidP="00EC584A">
      <w:pPr>
        <w:pStyle w:val="NormalWeb"/>
        <w:jc w:val="both"/>
        <w:rPr>
          <w:rFonts w:ascii="Arial" w:hAnsi="Arial" w:cs="Arial"/>
        </w:rPr>
      </w:pPr>
      <w:r w:rsidRPr="00EC584A">
        <w:rPr>
          <w:rFonts w:ascii="Arial" w:hAnsi="Arial" w:cs="Arial"/>
        </w:rPr>
        <w:t xml:space="preserve">Pirms septiņiem gadiem tika uzsākts darbs pie šī albuma </w:t>
      </w:r>
      <w:proofErr w:type="spellStart"/>
      <w:r w:rsidRPr="00EC584A">
        <w:rPr>
          <w:rFonts w:ascii="Arial" w:hAnsi="Arial" w:cs="Arial"/>
        </w:rPr>
        <w:t>faksimilizdevuma</w:t>
      </w:r>
      <w:proofErr w:type="spellEnd"/>
      <w:r w:rsidRPr="00EC584A">
        <w:rPr>
          <w:rFonts w:ascii="Arial" w:hAnsi="Arial" w:cs="Arial"/>
        </w:rPr>
        <w:t xml:space="preserve"> izveides un zinātniskajiem komentāriem. Nu šis darbs noslēdzies un līdz ar to dienas gaismā būs celts ļoti interesants aizmirsts vēstures piemineklis.</w:t>
      </w:r>
    </w:p>
    <w:p w:rsidR="00EC584A" w:rsidRPr="00EC584A" w:rsidRDefault="00EC584A" w:rsidP="00EC584A">
      <w:pPr>
        <w:pStyle w:val="NormalWeb"/>
        <w:jc w:val="both"/>
        <w:rPr>
          <w:rFonts w:ascii="Arial" w:hAnsi="Arial" w:cs="Arial"/>
        </w:rPr>
      </w:pPr>
      <w:r w:rsidRPr="00EC584A">
        <w:rPr>
          <w:rFonts w:ascii="Arial" w:hAnsi="Arial" w:cs="Arial"/>
        </w:rPr>
        <w:t xml:space="preserve">Pavisam īsi raksturojot, tā ir Baltijas vēstures retrospekcija 700 gadu garumā no Baltijas katoliskās aristokrātijas skatu punkta. „Tie ir notikumi, kuros parādās galvenokārt Baltijas katoliskā aristokrātija, kurai šeit ir ļoti dziļas saknes, sākot no 13.gadsimta. Taču šeit parādās arī citi vēstures „aktieri” - tie ir </w:t>
      </w:r>
      <w:proofErr w:type="spellStart"/>
      <w:r w:rsidRPr="00EC584A">
        <w:rPr>
          <w:rFonts w:ascii="Arial" w:hAnsi="Arial" w:cs="Arial"/>
        </w:rPr>
        <w:t>Austrumbaltijas</w:t>
      </w:r>
      <w:proofErr w:type="spellEnd"/>
      <w:r w:rsidRPr="00EC584A">
        <w:rPr>
          <w:rFonts w:ascii="Arial" w:hAnsi="Arial" w:cs="Arial"/>
        </w:rPr>
        <w:t xml:space="preserve"> pamatiedzīvotāji - kurši, </w:t>
      </w:r>
      <w:proofErr w:type="spellStart"/>
      <w:r w:rsidRPr="00EC584A">
        <w:rPr>
          <w:rFonts w:ascii="Arial" w:hAnsi="Arial" w:cs="Arial"/>
        </w:rPr>
        <w:t>letgaļi</w:t>
      </w:r>
      <w:proofErr w:type="spellEnd"/>
      <w:r w:rsidRPr="00EC584A">
        <w:rPr>
          <w:rFonts w:ascii="Arial" w:hAnsi="Arial" w:cs="Arial"/>
        </w:rPr>
        <w:t xml:space="preserve">, līvi un daudzi citi, kas ir nākuši un gājuši cauri šīm vēsturiskajām teritorijām. Šeit ir parādīts tas, kādas politiskās struktūras un institūcijas ir veidojušās un  nomainījušas viena otru vēsturiskajā attīstībā,” stāsta Andris </w:t>
      </w:r>
      <w:proofErr w:type="spellStart"/>
      <w:r w:rsidRPr="00EC584A">
        <w:rPr>
          <w:rFonts w:ascii="Arial" w:hAnsi="Arial" w:cs="Arial"/>
        </w:rPr>
        <w:t>Levāns</w:t>
      </w:r>
      <w:proofErr w:type="spellEnd"/>
      <w:r w:rsidRPr="00EC584A">
        <w:rPr>
          <w:rFonts w:ascii="Arial" w:hAnsi="Arial" w:cs="Arial"/>
        </w:rPr>
        <w:t xml:space="preserve">, </w:t>
      </w:r>
      <w:proofErr w:type="spellStart"/>
      <w:r w:rsidRPr="00EC584A">
        <w:rPr>
          <w:rFonts w:ascii="Arial" w:hAnsi="Arial" w:cs="Arial"/>
        </w:rPr>
        <w:t>zi„Tas</w:t>
      </w:r>
      <w:proofErr w:type="spellEnd"/>
      <w:r w:rsidRPr="00EC584A">
        <w:rPr>
          <w:rFonts w:ascii="Arial" w:hAnsi="Arial" w:cs="Arial"/>
        </w:rPr>
        <w:t xml:space="preserve"> ir tātad ilustrēts izdevums, kur ir ne tikai daudz rakstīta teksta, kur ir ne tikai attēloti šķēpi, vairogi, ģerboņi, baznīcas liturģiskās </w:t>
      </w:r>
      <w:proofErr w:type="spellStart"/>
      <w:r w:rsidRPr="00EC584A">
        <w:rPr>
          <w:rFonts w:ascii="Arial" w:hAnsi="Arial" w:cs="Arial"/>
        </w:rPr>
        <w:t>insignijas</w:t>
      </w:r>
      <w:proofErr w:type="spellEnd"/>
      <w:r w:rsidRPr="00EC584A">
        <w:rPr>
          <w:rFonts w:ascii="Arial" w:hAnsi="Arial" w:cs="Arial"/>
        </w:rPr>
        <w:t xml:space="preserve"> un dažādi citādi laicīgās varas simboli - zīmogi, nauda, dažādu vēsturisku personību stilizācijas, dažādi motīvi, dažādi notikumi, tas viss tur, protams, ir. Bet tā ir specifiska vēstures manifestācija, kur tajā brīdī viena sociāla grupa - šī katoliskā aristokrātija - saka: mums arī vajag savu vēsturi! Jo līdz tam </w:t>
      </w:r>
      <w:proofErr w:type="spellStart"/>
      <w:r w:rsidRPr="00EC584A">
        <w:rPr>
          <w:rFonts w:ascii="Arial" w:hAnsi="Arial" w:cs="Arial"/>
        </w:rPr>
        <w:t>Austrumbaltijā</w:t>
      </w:r>
      <w:proofErr w:type="spellEnd"/>
      <w:r w:rsidRPr="00EC584A">
        <w:rPr>
          <w:rFonts w:ascii="Arial" w:hAnsi="Arial" w:cs="Arial"/>
        </w:rPr>
        <w:t xml:space="preserve"> kopš 18.gadsimta pašām beigām viennozīmīgi dominē </w:t>
      </w:r>
      <w:proofErr w:type="spellStart"/>
      <w:r w:rsidRPr="00EC584A">
        <w:rPr>
          <w:rFonts w:ascii="Arial" w:hAnsi="Arial" w:cs="Arial"/>
        </w:rPr>
        <w:t>protestantiskais</w:t>
      </w:r>
      <w:proofErr w:type="spellEnd"/>
      <w:r w:rsidRPr="00EC584A">
        <w:rPr>
          <w:rFonts w:ascii="Arial" w:hAnsi="Arial" w:cs="Arial"/>
        </w:rPr>
        <w:t xml:space="preserve"> vēstures redzējums. Tam ir sava specifika, tas ir ļoti interesants, bet ar šo vēstures redzējumu katoliskā </w:t>
      </w:r>
      <w:proofErr w:type="spellStart"/>
      <w:r w:rsidRPr="00EC584A">
        <w:rPr>
          <w:rFonts w:ascii="Arial" w:hAnsi="Arial" w:cs="Arial"/>
        </w:rPr>
        <w:t>Austrumbaltijas</w:t>
      </w:r>
      <w:proofErr w:type="spellEnd"/>
      <w:r w:rsidRPr="00EC584A">
        <w:rPr>
          <w:rFonts w:ascii="Arial" w:hAnsi="Arial" w:cs="Arial"/>
        </w:rPr>
        <w:t xml:space="preserve"> iedzīvotāju daļa nespēj identificēties,” uzsver </w:t>
      </w:r>
      <w:proofErr w:type="spellStart"/>
      <w:r w:rsidRPr="00EC584A">
        <w:rPr>
          <w:rFonts w:ascii="Arial" w:hAnsi="Arial" w:cs="Arial"/>
        </w:rPr>
        <w:t>Levāns.nātniskais</w:t>
      </w:r>
      <w:proofErr w:type="spellEnd"/>
      <w:r w:rsidRPr="00EC584A">
        <w:rPr>
          <w:rFonts w:ascii="Arial" w:hAnsi="Arial" w:cs="Arial"/>
        </w:rPr>
        <w:t xml:space="preserve"> redaktors komentāru sējumam.</w:t>
      </w:r>
    </w:p>
    <w:sectPr w:rsidR="00EC584A" w:rsidRPr="00EC584A" w:rsidSect="00EC584A">
      <w:pgSz w:w="11906" w:h="16838"/>
      <w:pgMar w:top="568" w:right="1800" w:bottom="709"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EC584A"/>
    <w:rsid w:val="00026EE7"/>
    <w:rsid w:val="00EC584A"/>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E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58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84A"/>
    <w:rPr>
      <w:rFonts w:ascii="Tahoma" w:hAnsi="Tahoma" w:cs="Tahoma"/>
      <w:sz w:val="16"/>
      <w:szCs w:val="16"/>
    </w:rPr>
  </w:style>
  <w:style w:type="paragraph" w:styleId="NormalWeb">
    <w:name w:val="Normal (Web)"/>
    <w:basedOn w:val="Normal"/>
    <w:uiPriority w:val="99"/>
    <w:semiHidden/>
    <w:unhideWhenUsed/>
    <w:rsid w:val="00EC584A"/>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TableGrid">
    <w:name w:val="Table Grid"/>
    <w:basedOn w:val="TableNormal"/>
    <w:uiPriority w:val="59"/>
    <w:rsid w:val="00EC58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7577034">
      <w:bodyDiv w:val="1"/>
      <w:marLeft w:val="0"/>
      <w:marRight w:val="0"/>
      <w:marTop w:val="0"/>
      <w:marBottom w:val="0"/>
      <w:divBdr>
        <w:top w:val="none" w:sz="0" w:space="0" w:color="auto"/>
        <w:left w:val="none" w:sz="0" w:space="0" w:color="auto"/>
        <w:bottom w:val="none" w:sz="0" w:space="0" w:color="auto"/>
        <w:right w:val="none" w:sz="0" w:space="0" w:color="auto"/>
      </w:divBdr>
      <w:divsChild>
        <w:div w:id="1002245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1652</Words>
  <Characters>943</Characters>
  <Application>Microsoft Office Word</Application>
  <DocSecurity>0</DocSecurity>
  <Lines>7</Lines>
  <Paragraphs>5</Paragraphs>
  <ScaleCrop>false</ScaleCrop>
  <Company>Grizli777</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2017-05-02T18:13:00Z</dcterms:created>
  <dcterms:modified xsi:type="dcterms:W3CDTF">2017-05-02T18:20:00Z</dcterms:modified>
</cp:coreProperties>
</file>